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D52" w:rsidRPr="00A103C3" w:rsidRDefault="00806D52" w:rsidP="00A103C3">
      <w:pPr>
        <w:spacing w:line="480" w:lineRule="auto"/>
        <w:rPr>
          <w:rFonts w:ascii="Times New Roman" w:hAnsi="Times New Roman" w:cs="Times New Roman"/>
          <w:sz w:val="24"/>
          <w:szCs w:val="24"/>
        </w:rPr>
      </w:pP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63250C" w:rsidP="00A103C3">
      <w:pPr>
        <w:spacing w:line="480" w:lineRule="auto"/>
        <w:ind w:firstLine="720"/>
        <w:jc w:val="center"/>
        <w:rPr>
          <w:rFonts w:ascii="Times New Roman" w:hAnsi="Times New Roman" w:cs="Times New Roman"/>
          <w:sz w:val="24"/>
          <w:szCs w:val="24"/>
        </w:rPr>
      </w:pP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9531CB" w:rsidP="00A103C3">
      <w:pPr>
        <w:tabs>
          <w:tab w:val="left" w:pos="5828"/>
        </w:tabs>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ab/>
      </w: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63250C" w:rsidP="00A103C3">
      <w:pPr>
        <w:spacing w:line="480" w:lineRule="auto"/>
        <w:ind w:firstLine="720"/>
        <w:rPr>
          <w:rFonts w:ascii="Times New Roman" w:hAnsi="Times New Roman" w:cs="Times New Roman"/>
          <w:sz w:val="24"/>
          <w:szCs w:val="24"/>
        </w:rPr>
      </w:pPr>
    </w:p>
    <w:p w:rsidR="009531CB" w:rsidRPr="00A103C3" w:rsidRDefault="009531CB" w:rsidP="00A103C3">
      <w:pPr>
        <w:spacing w:line="480" w:lineRule="auto"/>
        <w:rPr>
          <w:rFonts w:ascii="Times New Roman" w:eastAsia="Calibri" w:hAnsi="Times New Roman" w:cs="Times New Roman"/>
          <w:sz w:val="24"/>
          <w:szCs w:val="24"/>
        </w:rPr>
      </w:pPr>
    </w:p>
    <w:p w:rsidR="009531CB" w:rsidRPr="00A103C3" w:rsidRDefault="009531CB" w:rsidP="00A103C3">
      <w:pPr>
        <w:spacing w:line="480" w:lineRule="auto"/>
        <w:rPr>
          <w:rFonts w:ascii="Times New Roman" w:eastAsia="Calibri" w:hAnsi="Times New Roman" w:cs="Times New Roman"/>
          <w:sz w:val="24"/>
          <w:szCs w:val="24"/>
        </w:rPr>
      </w:pPr>
    </w:p>
    <w:p w:rsidR="0014067E" w:rsidRPr="00A103C3" w:rsidRDefault="0014067E" w:rsidP="00A103C3">
      <w:pPr>
        <w:spacing w:line="480" w:lineRule="auto"/>
        <w:jc w:val="center"/>
        <w:rPr>
          <w:rFonts w:ascii="Times New Roman" w:eastAsia="Calibri" w:hAnsi="Times New Roman" w:cs="Times New Roman"/>
          <w:sz w:val="24"/>
          <w:szCs w:val="24"/>
        </w:rPr>
      </w:pPr>
      <w:r w:rsidRPr="00A103C3">
        <w:rPr>
          <w:rFonts w:ascii="Times New Roman" w:eastAsia="Calibri" w:hAnsi="Times New Roman" w:cs="Times New Roman"/>
          <w:sz w:val="24"/>
          <w:szCs w:val="24"/>
        </w:rPr>
        <w:t>Economic Theories</w:t>
      </w:r>
    </w:p>
    <w:p w:rsidR="0014067E" w:rsidRPr="00A103C3" w:rsidRDefault="0014067E" w:rsidP="00A103C3">
      <w:pPr>
        <w:spacing w:line="480" w:lineRule="auto"/>
        <w:jc w:val="center"/>
        <w:rPr>
          <w:rFonts w:ascii="Times New Roman" w:eastAsia="Calibri" w:hAnsi="Times New Roman" w:cs="Times New Roman"/>
          <w:sz w:val="24"/>
          <w:szCs w:val="24"/>
        </w:rPr>
      </w:pPr>
      <w:r w:rsidRPr="00A103C3">
        <w:rPr>
          <w:rFonts w:ascii="Times New Roman" w:eastAsia="Calibri" w:hAnsi="Times New Roman" w:cs="Times New Roman"/>
          <w:sz w:val="24"/>
          <w:szCs w:val="24"/>
        </w:rPr>
        <w:t>Student Affiliation</w:t>
      </w:r>
    </w:p>
    <w:p w:rsidR="0014067E" w:rsidRPr="00A103C3" w:rsidRDefault="0014067E" w:rsidP="00A103C3">
      <w:pPr>
        <w:spacing w:line="480" w:lineRule="auto"/>
        <w:jc w:val="center"/>
        <w:rPr>
          <w:rFonts w:ascii="Times New Roman" w:eastAsia="Calibri" w:hAnsi="Times New Roman" w:cs="Times New Roman"/>
          <w:sz w:val="24"/>
          <w:szCs w:val="24"/>
        </w:rPr>
      </w:pPr>
      <w:r w:rsidRPr="00A103C3">
        <w:rPr>
          <w:rFonts w:ascii="Times New Roman" w:eastAsia="Calibri" w:hAnsi="Times New Roman" w:cs="Times New Roman"/>
          <w:sz w:val="24"/>
          <w:szCs w:val="24"/>
        </w:rPr>
        <w:t>Institution Affiliation</w:t>
      </w:r>
    </w:p>
    <w:p w:rsidR="00A103C3" w:rsidRPr="00A103C3" w:rsidRDefault="00A103C3" w:rsidP="00A103C3">
      <w:pPr>
        <w:spacing w:line="480" w:lineRule="auto"/>
        <w:jc w:val="center"/>
        <w:rPr>
          <w:rFonts w:ascii="Times New Roman" w:eastAsia="Calibri" w:hAnsi="Times New Roman" w:cs="Times New Roman"/>
          <w:sz w:val="24"/>
          <w:szCs w:val="24"/>
        </w:rPr>
      </w:pPr>
      <w:r w:rsidRPr="00A103C3">
        <w:rPr>
          <w:rFonts w:ascii="Times New Roman" w:eastAsia="Calibri" w:hAnsi="Times New Roman" w:cs="Times New Roman"/>
          <w:sz w:val="24"/>
          <w:szCs w:val="24"/>
        </w:rPr>
        <w:t xml:space="preserve">Date </w:t>
      </w: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63250C" w:rsidP="00A103C3">
      <w:pPr>
        <w:spacing w:line="480" w:lineRule="auto"/>
        <w:ind w:firstLine="720"/>
        <w:rPr>
          <w:rFonts w:ascii="Times New Roman" w:hAnsi="Times New Roman" w:cs="Times New Roman"/>
          <w:sz w:val="24"/>
          <w:szCs w:val="24"/>
        </w:rPr>
      </w:pPr>
    </w:p>
    <w:p w:rsidR="0063250C" w:rsidRPr="00A103C3" w:rsidRDefault="0063250C" w:rsidP="00A103C3">
      <w:pPr>
        <w:spacing w:line="480" w:lineRule="auto"/>
        <w:rPr>
          <w:rFonts w:ascii="Times New Roman" w:hAnsi="Times New Roman" w:cs="Times New Roman"/>
          <w:sz w:val="24"/>
          <w:szCs w:val="24"/>
        </w:rPr>
      </w:pPr>
    </w:p>
    <w:p w:rsidR="0063250C" w:rsidRPr="00A103C3" w:rsidRDefault="000A1D96" w:rsidP="00A103C3">
      <w:pPr>
        <w:spacing w:line="480" w:lineRule="auto"/>
        <w:ind w:firstLine="720"/>
        <w:jc w:val="center"/>
        <w:rPr>
          <w:rFonts w:ascii="Times New Roman" w:hAnsi="Times New Roman" w:cs="Times New Roman"/>
          <w:sz w:val="24"/>
          <w:szCs w:val="24"/>
        </w:rPr>
      </w:pPr>
      <w:r w:rsidRPr="00A103C3">
        <w:rPr>
          <w:rFonts w:ascii="Times New Roman" w:hAnsi="Times New Roman" w:cs="Times New Roman"/>
          <w:sz w:val="24"/>
          <w:szCs w:val="24"/>
        </w:rPr>
        <w:lastRenderedPageBreak/>
        <w:t>Economic Theories</w:t>
      </w:r>
    </w:p>
    <w:p w:rsidR="00A103C3" w:rsidRPr="00A103C3" w:rsidRDefault="00A103C3" w:rsidP="008C3B2C">
      <w:pPr>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The economy of a country greatly defines its development and productivity levels. Therefore, the economic issues of a country should be handled critically. Various theories and models have been developed by different scholars to help in explaining financial matters and also guide counties on to make effective decisions concerning their economic development. Some of the known economic theories include the Marshall Learner Theorem and The Mundell Fleming Model.  These models use different ideologies to explain the impact of various financial factors on the economy. The impossible trinity is also an economic theory that mainly focuses on decision making (Vines, 2015).</w:t>
      </w:r>
    </w:p>
    <w:p w:rsidR="00A103C3" w:rsidRPr="00A103C3" w:rsidRDefault="00A103C3" w:rsidP="008C3B2C">
      <w:pPr>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 xml:space="preserve">The Marshall Lerner Theorem is an economic theory developed by Alfred Marshall and Abba Lerner. This theory states that the devaluation of a country’s currency value can still be of positive impact in the national accounts provided the sum of the price changes in both imports and exports is greater than 1. However, when the sum is less than one, then the fall in currency value is likely to be of negative impact on the country’s </w:t>
      </w:r>
      <w:r w:rsidR="002E1CF7">
        <w:rPr>
          <w:rFonts w:ascii="Times New Roman" w:hAnsi="Times New Roman" w:cs="Times New Roman"/>
          <w:sz w:val="24"/>
          <w:szCs w:val="24"/>
        </w:rPr>
        <w:t xml:space="preserve"> economy.</w:t>
      </w:r>
      <w:r w:rsidRPr="00A103C3">
        <w:rPr>
          <w:rFonts w:ascii="Times New Roman" w:hAnsi="Times New Roman" w:cs="Times New Roman"/>
          <w:sz w:val="24"/>
          <w:szCs w:val="24"/>
        </w:rPr>
        <w:t xml:space="preserve"> Despite the fact that there is a possibility of a county benefiting from currency fall, these effects take some time before being noticed. The fall in the currency is a condition whereby the exchange rates become low. When this happens, the export prices decrease while the import prices increase. Therefore, the export demand will increase while that of imports will increase (SHAHZAD &amp; AFZAL, 2013).</w:t>
      </w:r>
    </w:p>
    <w:p w:rsidR="00A103C3" w:rsidRPr="00A103C3" w:rsidRDefault="00A103C3" w:rsidP="008C3B2C">
      <w:pPr>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 xml:space="preserve">The Mundell Fleming model bases its assumptions on price levels, money market, and goods market. This economic model states that the economy of a country fully depends on the system of exchange rates that it chooses to adopt (McKinnon, 2004). The model assumes that although a country with an open economy and faultless capital mobility may experience </w:t>
      </w:r>
      <w:r w:rsidRPr="00A103C3">
        <w:rPr>
          <w:rFonts w:ascii="Times New Roman" w:hAnsi="Times New Roman" w:cs="Times New Roman"/>
          <w:sz w:val="24"/>
          <w:szCs w:val="24"/>
        </w:rPr>
        <w:lastRenderedPageBreak/>
        <w:t xml:space="preserve">alterations in its rates of domestic interest, such a country cannot stay for long out of the global rates of interest. Counties can either adopt the use of a fixed or a floating exchange rate system. In the floating system, the central bank does not intervene in the external exchange market while the fixed system allows the intervention of the central bank. Since it is impossible to apply the three solutions at the same time, </w:t>
      </w:r>
    </w:p>
    <w:p w:rsidR="00A103C3" w:rsidRPr="00A103C3" w:rsidRDefault="00A103C3" w:rsidP="008C3B2C">
      <w:pPr>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Although the two economic theories explain the determinants of a country’s economic progress, they differ in their arguments. Marshall Lerner theorem bases its arguments on a country’s currency value while Mundell Fleming Model focuses on a nation’s exchange rate system. These two theories relate to the impossible trinity because they are all economic theories and their suggestions are highly related to the three options provided by this Trilemma. The impossible trinity also identified as the Mundell Fleming Trilemma</w:t>
      </w:r>
      <w:r w:rsidR="002E1CF7">
        <w:rPr>
          <w:rFonts w:ascii="Times New Roman" w:hAnsi="Times New Roman" w:cs="Times New Roman"/>
          <w:sz w:val="24"/>
          <w:szCs w:val="24"/>
        </w:rPr>
        <w:t xml:space="preserve"> </w:t>
      </w:r>
      <w:r w:rsidRPr="00A103C3">
        <w:rPr>
          <w:rFonts w:ascii="Times New Roman" w:hAnsi="Times New Roman" w:cs="Times New Roman"/>
          <w:sz w:val="24"/>
          <w:szCs w:val="24"/>
        </w:rPr>
        <w:t>is a theory of decision making that offers three solutions of equal importance to a problem yet it is possible to achieve only one of them at a time (Vines, 2015). The solutions offered by this theory are setting fixed rates of currency exchange, having an independent monetary policy and allowing the free flow of capital with no fixed rates of currency exchange. Since only one of the three solutions is manageable at a time, MundellFlemming and Marshall Lerner's theories chose to each explore one of the three solutions and how they can be used to impact the economy of a country. A good example is during WW II, the Bretton Woods Agreement fixed all currencies to the U.S. dollar. Despite this, countries were still allowed to establish their personal interest rates. While observing fixed exchange rates and independent monetary policies, the agreement failed to achieve free flow of capital it remained low.</w:t>
      </w:r>
    </w:p>
    <w:p w:rsidR="00A103C3" w:rsidRPr="00A103C3" w:rsidRDefault="00A103C3" w:rsidP="008C3B2C">
      <w:pPr>
        <w:spacing w:line="480" w:lineRule="auto"/>
        <w:ind w:firstLine="720"/>
        <w:rPr>
          <w:rFonts w:ascii="Times New Roman" w:hAnsi="Times New Roman" w:cs="Times New Roman"/>
          <w:sz w:val="24"/>
          <w:szCs w:val="24"/>
        </w:rPr>
      </w:pPr>
      <w:r w:rsidRPr="00A103C3">
        <w:rPr>
          <w:rFonts w:ascii="Times New Roman" w:hAnsi="Times New Roman" w:cs="Times New Roman"/>
          <w:sz w:val="24"/>
          <w:szCs w:val="24"/>
        </w:rPr>
        <w:t xml:space="preserve">Therefore, it is evident that the economy of a country can be determined by three main aspects. That is currency exchange rates, free flow of capital and independent monetary policy. </w:t>
      </w:r>
      <w:r w:rsidRPr="00A103C3">
        <w:rPr>
          <w:rFonts w:ascii="Times New Roman" w:hAnsi="Times New Roman" w:cs="Times New Roman"/>
          <w:sz w:val="24"/>
          <w:szCs w:val="24"/>
        </w:rPr>
        <w:lastRenderedPageBreak/>
        <w:t>The three aspects are important and have a great impact on the nation’s economy. However, it is impossible to achieve the three at the same time. The only solution countries can have is choosing one of the solutions and maximizing its benefits to the economy (McKinnon, 2004).</w:t>
      </w: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0B17CB" w:rsidRPr="00A103C3" w:rsidRDefault="000B17CB" w:rsidP="00A103C3">
      <w:pPr>
        <w:spacing w:line="480" w:lineRule="auto"/>
        <w:rPr>
          <w:rFonts w:ascii="Times New Roman" w:hAnsi="Times New Roman" w:cs="Times New Roman"/>
          <w:sz w:val="24"/>
          <w:szCs w:val="24"/>
        </w:rPr>
      </w:pPr>
    </w:p>
    <w:p w:rsidR="00806D52" w:rsidRPr="00A103C3" w:rsidRDefault="000B17CB" w:rsidP="00A103C3">
      <w:pPr>
        <w:spacing w:line="480" w:lineRule="auto"/>
        <w:rPr>
          <w:rFonts w:ascii="Times New Roman" w:hAnsi="Times New Roman" w:cs="Times New Roman"/>
          <w:sz w:val="24"/>
          <w:szCs w:val="24"/>
        </w:rPr>
      </w:pPr>
      <w:r w:rsidRPr="00A103C3">
        <w:rPr>
          <w:rFonts w:ascii="Times New Roman" w:hAnsi="Times New Roman" w:cs="Times New Roman"/>
          <w:sz w:val="24"/>
          <w:szCs w:val="24"/>
        </w:rPr>
        <w:lastRenderedPageBreak/>
        <w:t xml:space="preserve">                                                                    References</w:t>
      </w:r>
    </w:p>
    <w:p w:rsidR="00BA5BF2" w:rsidRPr="00A103C3" w:rsidRDefault="00BA5BF2" w:rsidP="008C3B2C">
      <w:pPr>
        <w:spacing w:line="480" w:lineRule="auto"/>
        <w:ind w:left="720" w:hanging="720"/>
        <w:rPr>
          <w:rFonts w:ascii="Times New Roman" w:hAnsi="Times New Roman" w:cs="Times New Roman"/>
          <w:sz w:val="24"/>
          <w:szCs w:val="24"/>
        </w:rPr>
      </w:pPr>
      <w:r w:rsidRPr="00A103C3">
        <w:rPr>
          <w:rFonts w:ascii="Times New Roman" w:hAnsi="Times New Roman" w:cs="Times New Roman"/>
          <w:sz w:val="24"/>
          <w:szCs w:val="24"/>
        </w:rPr>
        <w:t xml:space="preserve">McKinnon, R. (2004). Optimum Currency Areas and Key Currencies: Mundell I versus Mundell II. JCMS: </w:t>
      </w:r>
      <w:r w:rsidRPr="00A103C3">
        <w:rPr>
          <w:rFonts w:ascii="Times New Roman" w:hAnsi="Times New Roman" w:cs="Times New Roman"/>
          <w:i/>
          <w:sz w:val="24"/>
          <w:szCs w:val="24"/>
        </w:rPr>
        <w:t>Journal Of Common Market Studies</w:t>
      </w:r>
      <w:r w:rsidRPr="00A103C3">
        <w:rPr>
          <w:rFonts w:ascii="Times New Roman" w:hAnsi="Times New Roman" w:cs="Times New Roman"/>
          <w:sz w:val="24"/>
          <w:szCs w:val="24"/>
        </w:rPr>
        <w:t>, 42(4), 689-715. doi: 10.1111/j.0021-9886.2004.00525.x</w:t>
      </w:r>
    </w:p>
    <w:p w:rsidR="00BA5BF2" w:rsidRPr="00A103C3" w:rsidRDefault="00BA5BF2" w:rsidP="008C3B2C">
      <w:pPr>
        <w:spacing w:line="480" w:lineRule="auto"/>
        <w:ind w:left="720" w:hanging="720"/>
        <w:rPr>
          <w:rFonts w:ascii="Times New Roman" w:hAnsi="Times New Roman" w:cs="Times New Roman"/>
          <w:sz w:val="24"/>
          <w:szCs w:val="24"/>
        </w:rPr>
      </w:pPr>
      <w:r w:rsidRPr="00A103C3">
        <w:rPr>
          <w:rFonts w:ascii="Times New Roman" w:hAnsi="Times New Roman" w:cs="Times New Roman"/>
          <w:sz w:val="24"/>
          <w:szCs w:val="24"/>
        </w:rPr>
        <w:t xml:space="preserve">SHAHZAD, I., &amp; AFZAL, M. (2013). IMPACT OF CURRENCY DEVALUATION ON THE EXPORTS: A COMPARATIVE STUDY ON PAKISTAN, BANGLADESH AND INDIA. </w:t>
      </w:r>
      <w:r w:rsidRPr="00A103C3">
        <w:rPr>
          <w:rFonts w:ascii="Times New Roman" w:hAnsi="Times New Roman" w:cs="Times New Roman"/>
          <w:i/>
          <w:sz w:val="24"/>
          <w:szCs w:val="24"/>
        </w:rPr>
        <w:t>Paradigms</w:t>
      </w:r>
      <w:r w:rsidRPr="00A103C3">
        <w:rPr>
          <w:rFonts w:ascii="Times New Roman" w:hAnsi="Times New Roman" w:cs="Times New Roman"/>
          <w:sz w:val="24"/>
          <w:szCs w:val="24"/>
        </w:rPr>
        <w:t>, 7(1), 20-31. doi: 10.24312/paradigms070103</w:t>
      </w:r>
    </w:p>
    <w:p w:rsidR="00BA5BF2" w:rsidRPr="00A103C3" w:rsidRDefault="00BA5BF2" w:rsidP="008C3B2C">
      <w:pPr>
        <w:spacing w:line="480" w:lineRule="auto"/>
        <w:ind w:left="720" w:hanging="720"/>
        <w:rPr>
          <w:rFonts w:ascii="Times New Roman" w:hAnsi="Times New Roman" w:cs="Times New Roman"/>
          <w:sz w:val="24"/>
          <w:szCs w:val="24"/>
        </w:rPr>
      </w:pPr>
      <w:r w:rsidRPr="00A103C3">
        <w:rPr>
          <w:rFonts w:ascii="Times New Roman" w:hAnsi="Times New Roman" w:cs="Times New Roman"/>
          <w:sz w:val="24"/>
          <w:szCs w:val="24"/>
        </w:rPr>
        <w:t xml:space="preserve">Vines, D. (2015). Impossible Macroeconomic Trinity: The Challenge to Economic Governance in the Eurozone. </w:t>
      </w:r>
      <w:r w:rsidRPr="00A103C3">
        <w:rPr>
          <w:rFonts w:ascii="Times New Roman" w:hAnsi="Times New Roman" w:cs="Times New Roman"/>
          <w:i/>
          <w:sz w:val="24"/>
          <w:szCs w:val="24"/>
        </w:rPr>
        <w:t>Journal Of European Integration,</w:t>
      </w:r>
      <w:r w:rsidRPr="00A103C3">
        <w:rPr>
          <w:rFonts w:ascii="Times New Roman" w:hAnsi="Times New Roman" w:cs="Times New Roman"/>
          <w:sz w:val="24"/>
          <w:szCs w:val="24"/>
        </w:rPr>
        <w:t xml:space="preserve"> 37(7), 861-874. doi: 10.1080/07036337.2015.1079366</w:t>
      </w:r>
    </w:p>
    <w:p w:rsidR="000B17CB" w:rsidRPr="00A103C3" w:rsidRDefault="008C3B2C" w:rsidP="008C3B2C">
      <w:pPr>
        <w:tabs>
          <w:tab w:val="left" w:pos="3980"/>
        </w:tabs>
        <w:spacing w:line="480" w:lineRule="auto"/>
        <w:ind w:left="720" w:hanging="720"/>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sectPr w:rsidR="000B17CB" w:rsidRPr="00A103C3" w:rsidSect="009531C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8DF" w:rsidRDefault="009B78DF" w:rsidP="009531CB">
      <w:pPr>
        <w:spacing w:after="0" w:line="240" w:lineRule="auto"/>
      </w:pPr>
      <w:r>
        <w:separator/>
      </w:r>
    </w:p>
  </w:endnote>
  <w:endnote w:type="continuationSeparator" w:id="1">
    <w:p w:rsidR="009B78DF" w:rsidRDefault="009B78DF" w:rsidP="00953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8DF" w:rsidRDefault="009B78DF" w:rsidP="009531CB">
      <w:pPr>
        <w:spacing w:after="0" w:line="240" w:lineRule="auto"/>
      </w:pPr>
      <w:r>
        <w:separator/>
      </w:r>
    </w:p>
  </w:footnote>
  <w:footnote w:type="continuationSeparator" w:id="1">
    <w:p w:rsidR="009B78DF" w:rsidRDefault="009B78DF" w:rsidP="00953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CB" w:rsidRDefault="009531CB" w:rsidP="005F6B6F">
    <w:pPr>
      <w:pStyle w:val="Header"/>
      <w:spacing w:line="480" w:lineRule="auto"/>
    </w:pPr>
    <w:r w:rsidRPr="009531CB">
      <w:rPr>
        <w:rFonts w:ascii="Times New Roman" w:hAnsi="Times New Roman" w:cs="Times New Roman"/>
        <w:sz w:val="24"/>
        <w:szCs w:val="24"/>
      </w:rPr>
      <w:t xml:space="preserve">ECONOMIC THEORIES                                                                                </w:t>
    </w:r>
    <w:r w:rsidR="005F6B6F">
      <w:rPr>
        <w:rFonts w:ascii="Times New Roman" w:hAnsi="Times New Roman" w:cs="Times New Roman"/>
        <w:sz w:val="24"/>
        <w:szCs w:val="24"/>
      </w:rPr>
      <w:t xml:space="preserve">     </w:t>
    </w:r>
    <w:r w:rsidRPr="009531CB">
      <w:rPr>
        <w:rFonts w:ascii="Times New Roman" w:hAnsi="Times New Roman" w:cs="Times New Roman"/>
        <w:sz w:val="24"/>
        <w:szCs w:val="24"/>
      </w:rPr>
      <w:t xml:space="preserve">                          </w:t>
    </w:r>
    <w:sdt>
      <w:sdtPr>
        <w:rPr>
          <w:rFonts w:ascii="Times New Roman" w:hAnsi="Times New Roman" w:cs="Times New Roman"/>
          <w:sz w:val="24"/>
          <w:szCs w:val="24"/>
        </w:rPr>
        <w:id w:val="381835593"/>
        <w:docPartObj>
          <w:docPartGallery w:val="Page Numbers (Top of Page)"/>
          <w:docPartUnique/>
        </w:docPartObj>
      </w:sdtPr>
      <w:sdtEndPr>
        <w:rPr>
          <w:noProof/>
        </w:rPr>
      </w:sdtEndPr>
      <w:sdtContent>
        <w:r w:rsidR="00947904" w:rsidRPr="009531CB">
          <w:rPr>
            <w:rFonts w:ascii="Times New Roman" w:hAnsi="Times New Roman" w:cs="Times New Roman"/>
            <w:sz w:val="24"/>
            <w:szCs w:val="24"/>
          </w:rPr>
          <w:fldChar w:fldCharType="begin"/>
        </w:r>
        <w:r w:rsidRPr="009531CB">
          <w:rPr>
            <w:rFonts w:ascii="Times New Roman" w:hAnsi="Times New Roman" w:cs="Times New Roman"/>
            <w:sz w:val="24"/>
            <w:szCs w:val="24"/>
          </w:rPr>
          <w:instrText xml:space="preserve"> PAGE   \* MERGEFORMAT </w:instrText>
        </w:r>
        <w:r w:rsidR="00947904" w:rsidRPr="009531CB">
          <w:rPr>
            <w:rFonts w:ascii="Times New Roman" w:hAnsi="Times New Roman" w:cs="Times New Roman"/>
            <w:sz w:val="24"/>
            <w:szCs w:val="24"/>
          </w:rPr>
          <w:fldChar w:fldCharType="separate"/>
        </w:r>
        <w:r w:rsidR="00FA7555">
          <w:rPr>
            <w:rFonts w:ascii="Times New Roman" w:hAnsi="Times New Roman" w:cs="Times New Roman"/>
            <w:noProof/>
            <w:sz w:val="24"/>
            <w:szCs w:val="24"/>
          </w:rPr>
          <w:t>5</w:t>
        </w:r>
        <w:r w:rsidR="00947904" w:rsidRPr="009531CB">
          <w:rPr>
            <w:rFonts w:ascii="Times New Roman" w:hAnsi="Times New Roman" w:cs="Times New Roman"/>
            <w:noProof/>
            <w:sz w:val="24"/>
            <w:szCs w:val="24"/>
          </w:rPr>
          <w:fldChar w:fldCharType="end"/>
        </w:r>
      </w:sdtContent>
    </w:sdt>
  </w:p>
  <w:p w:rsidR="009531CB" w:rsidRDefault="009531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13001"/>
      <w:docPartObj>
        <w:docPartGallery w:val="Page Numbers (Top of Page)"/>
        <w:docPartUnique/>
      </w:docPartObj>
    </w:sdtPr>
    <w:sdtContent>
      <w:p w:rsidR="009531CB" w:rsidRPr="00A103C3" w:rsidRDefault="00A103C3" w:rsidP="00A103C3">
        <w:pPr>
          <w:pStyle w:val="Header"/>
          <w:spacing w:line="480" w:lineRule="auto"/>
          <w:rPr>
            <w:rFonts w:ascii="Times New Roman" w:hAnsi="Times New Roman" w:cs="Times New Roman"/>
            <w:sz w:val="24"/>
            <w:szCs w:val="24"/>
          </w:rPr>
        </w:pPr>
        <w:r w:rsidRPr="00A103C3">
          <w:rPr>
            <w:rFonts w:ascii="Times New Roman" w:hAnsi="Times New Roman" w:cs="Times New Roman"/>
            <w:sz w:val="24"/>
            <w:szCs w:val="24"/>
          </w:rPr>
          <w:t xml:space="preserve">Running head: ECONOMIC THEORIES                                                                                  </w:t>
        </w:r>
        <w:r w:rsidR="00947904" w:rsidRPr="00A103C3">
          <w:rPr>
            <w:rFonts w:ascii="Times New Roman" w:hAnsi="Times New Roman" w:cs="Times New Roman"/>
            <w:sz w:val="24"/>
            <w:szCs w:val="24"/>
          </w:rPr>
          <w:fldChar w:fldCharType="begin"/>
        </w:r>
        <w:r w:rsidRPr="00A103C3">
          <w:rPr>
            <w:rFonts w:ascii="Times New Roman" w:hAnsi="Times New Roman" w:cs="Times New Roman"/>
            <w:sz w:val="24"/>
            <w:szCs w:val="24"/>
          </w:rPr>
          <w:instrText xml:space="preserve"> PAGE   \* MERGEFORMAT </w:instrText>
        </w:r>
        <w:r w:rsidR="00947904" w:rsidRPr="00A103C3">
          <w:rPr>
            <w:rFonts w:ascii="Times New Roman" w:hAnsi="Times New Roman" w:cs="Times New Roman"/>
            <w:sz w:val="24"/>
            <w:szCs w:val="24"/>
          </w:rPr>
          <w:fldChar w:fldCharType="separate"/>
        </w:r>
        <w:r w:rsidR="00FA7555">
          <w:rPr>
            <w:rFonts w:ascii="Times New Roman" w:hAnsi="Times New Roman" w:cs="Times New Roman"/>
            <w:noProof/>
            <w:sz w:val="24"/>
            <w:szCs w:val="24"/>
          </w:rPr>
          <w:t>1</w:t>
        </w:r>
        <w:r w:rsidR="00947904" w:rsidRPr="00A103C3">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1266"/>
  </w:hdrShapeDefaults>
  <w:footnotePr>
    <w:footnote w:id="0"/>
    <w:footnote w:id="1"/>
  </w:footnotePr>
  <w:endnotePr>
    <w:endnote w:id="0"/>
    <w:endnote w:id="1"/>
  </w:endnotePr>
  <w:compat/>
  <w:rsids>
    <w:rsidRoot w:val="00806D52"/>
    <w:rsid w:val="000106ED"/>
    <w:rsid w:val="000134F3"/>
    <w:rsid w:val="00040E2A"/>
    <w:rsid w:val="000441C2"/>
    <w:rsid w:val="00072904"/>
    <w:rsid w:val="000A1D96"/>
    <w:rsid w:val="000B17CB"/>
    <w:rsid w:val="000B4D64"/>
    <w:rsid w:val="000E1223"/>
    <w:rsid w:val="00105942"/>
    <w:rsid w:val="0014067E"/>
    <w:rsid w:val="0019338F"/>
    <w:rsid w:val="001A3BDE"/>
    <w:rsid w:val="001C0F01"/>
    <w:rsid w:val="001C1465"/>
    <w:rsid w:val="001C5C7B"/>
    <w:rsid w:val="001E453A"/>
    <w:rsid w:val="0028786C"/>
    <w:rsid w:val="002B4821"/>
    <w:rsid w:val="002E1CF7"/>
    <w:rsid w:val="0035236E"/>
    <w:rsid w:val="00371932"/>
    <w:rsid w:val="004176C0"/>
    <w:rsid w:val="00450AA7"/>
    <w:rsid w:val="004858FE"/>
    <w:rsid w:val="004B418F"/>
    <w:rsid w:val="004C2F81"/>
    <w:rsid w:val="004D336D"/>
    <w:rsid w:val="004D74C5"/>
    <w:rsid w:val="004E0C98"/>
    <w:rsid w:val="005010A8"/>
    <w:rsid w:val="0050359A"/>
    <w:rsid w:val="00503CB5"/>
    <w:rsid w:val="00507171"/>
    <w:rsid w:val="00556F86"/>
    <w:rsid w:val="00577B74"/>
    <w:rsid w:val="005D22F1"/>
    <w:rsid w:val="005F6B6F"/>
    <w:rsid w:val="0063250C"/>
    <w:rsid w:val="00660601"/>
    <w:rsid w:val="006C4332"/>
    <w:rsid w:val="006C4EC5"/>
    <w:rsid w:val="006C58F6"/>
    <w:rsid w:val="006D6B30"/>
    <w:rsid w:val="006E4109"/>
    <w:rsid w:val="00751C19"/>
    <w:rsid w:val="007B48B2"/>
    <w:rsid w:val="007C779E"/>
    <w:rsid w:val="007E5BA7"/>
    <w:rsid w:val="00806D52"/>
    <w:rsid w:val="00822D37"/>
    <w:rsid w:val="00881446"/>
    <w:rsid w:val="008C3B2C"/>
    <w:rsid w:val="008D1D04"/>
    <w:rsid w:val="008F651F"/>
    <w:rsid w:val="008F7068"/>
    <w:rsid w:val="0093347C"/>
    <w:rsid w:val="00934495"/>
    <w:rsid w:val="00946F75"/>
    <w:rsid w:val="00947904"/>
    <w:rsid w:val="009518BB"/>
    <w:rsid w:val="009531CB"/>
    <w:rsid w:val="009A5EFA"/>
    <w:rsid w:val="009B78DF"/>
    <w:rsid w:val="009E3877"/>
    <w:rsid w:val="009F5208"/>
    <w:rsid w:val="009F5616"/>
    <w:rsid w:val="00A103C3"/>
    <w:rsid w:val="00A21D1E"/>
    <w:rsid w:val="00AE4835"/>
    <w:rsid w:val="00B07E2E"/>
    <w:rsid w:val="00B37836"/>
    <w:rsid w:val="00B77CEE"/>
    <w:rsid w:val="00B81142"/>
    <w:rsid w:val="00B811BB"/>
    <w:rsid w:val="00B926C7"/>
    <w:rsid w:val="00BA5BF2"/>
    <w:rsid w:val="00BC3BF9"/>
    <w:rsid w:val="00BC6258"/>
    <w:rsid w:val="00BD355B"/>
    <w:rsid w:val="00BF09F9"/>
    <w:rsid w:val="00BF185D"/>
    <w:rsid w:val="00BF541C"/>
    <w:rsid w:val="00BF77B3"/>
    <w:rsid w:val="00C13A39"/>
    <w:rsid w:val="00C32161"/>
    <w:rsid w:val="00C602B9"/>
    <w:rsid w:val="00C7268F"/>
    <w:rsid w:val="00CA1A6D"/>
    <w:rsid w:val="00CA60A6"/>
    <w:rsid w:val="00D25D30"/>
    <w:rsid w:val="00DB59F2"/>
    <w:rsid w:val="00DF0A14"/>
    <w:rsid w:val="00E51A03"/>
    <w:rsid w:val="00EC1EBC"/>
    <w:rsid w:val="00EE3BD5"/>
    <w:rsid w:val="00EE4526"/>
    <w:rsid w:val="00EE46D1"/>
    <w:rsid w:val="00EE56B5"/>
    <w:rsid w:val="00F266DC"/>
    <w:rsid w:val="00F322F8"/>
    <w:rsid w:val="00F53E2C"/>
    <w:rsid w:val="00FA7555"/>
    <w:rsid w:val="00FD0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1CB"/>
  </w:style>
  <w:style w:type="paragraph" w:styleId="Footer">
    <w:name w:val="footer"/>
    <w:basedOn w:val="Normal"/>
    <w:link w:val="FooterChar"/>
    <w:uiPriority w:val="99"/>
    <w:unhideWhenUsed/>
    <w:rsid w:val="0095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1CB"/>
  </w:style>
  <w:style w:type="paragraph" w:styleId="BalloonText">
    <w:name w:val="Balloon Text"/>
    <w:basedOn w:val="Normal"/>
    <w:link w:val="BalloonTextChar"/>
    <w:uiPriority w:val="99"/>
    <w:semiHidden/>
    <w:unhideWhenUsed/>
    <w:rsid w:val="0095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1CB"/>
  </w:style>
  <w:style w:type="paragraph" w:styleId="Footer">
    <w:name w:val="footer"/>
    <w:basedOn w:val="Normal"/>
    <w:link w:val="FooterChar"/>
    <w:uiPriority w:val="99"/>
    <w:unhideWhenUsed/>
    <w:rsid w:val="00953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1CB"/>
  </w:style>
  <w:style w:type="paragraph" w:styleId="BalloonText">
    <w:name w:val="Balloon Text"/>
    <w:basedOn w:val="Normal"/>
    <w:link w:val="BalloonTextChar"/>
    <w:uiPriority w:val="99"/>
    <w:semiHidden/>
    <w:unhideWhenUsed/>
    <w:rsid w:val="009531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461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ADM</cp:lastModifiedBy>
  <cp:revision>2</cp:revision>
  <dcterms:created xsi:type="dcterms:W3CDTF">2020-04-07T17:57:00Z</dcterms:created>
  <dcterms:modified xsi:type="dcterms:W3CDTF">2020-04-07T17:57:00Z</dcterms:modified>
</cp:coreProperties>
</file>